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24"/>
          <w:szCs w:val="24"/>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Inter-Club Council</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September 9, 2025; 01:40 p.m.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 </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NOTICE IS HEREBY GIVEN that Inter-Club Council will hold a meeting on </w:t>
      </w:r>
      <w:r w:rsidDel="00000000" w:rsidR="00000000" w:rsidRPr="00000000">
        <w:rPr>
          <w:rFonts w:ascii="Times New Roman" w:cs="Times New Roman" w:eastAsia="Times New Roman" w:hAnsi="Times New Roman"/>
          <w:b w:val="1"/>
          <w:sz w:val="16"/>
          <w:szCs w:val="16"/>
          <w:rtl w:val="0"/>
        </w:rPr>
        <w:t xml:space="preserve">Tuesday, September 9, 2025</w:t>
      </w:r>
      <w:r w:rsidDel="00000000" w:rsidR="00000000" w:rsidRPr="00000000">
        <w:rPr>
          <w:rFonts w:ascii="Times New Roman" w:cs="Times New Roman" w:eastAsia="Times New Roman" w:hAnsi="Times New Roman"/>
          <w:sz w:val="16"/>
          <w:szCs w:val="16"/>
          <w:rtl w:val="0"/>
        </w:rPr>
        <w:t xml:space="preserve">, 01:40 pm.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Yoonie Pak at </w:t>
      </w:r>
      <w:hyperlink r:id="rId8">
        <w:r w:rsidDel="00000000" w:rsidR="00000000" w:rsidRPr="00000000">
          <w:rPr>
            <w:rFonts w:ascii="Times New Roman" w:cs="Times New Roman" w:eastAsia="Times New Roman" w:hAnsi="Times New Roman"/>
            <w:color w:val="1155cc"/>
            <w:sz w:val="16"/>
            <w:szCs w:val="16"/>
            <w:u w:val="single"/>
            <w:rtl w:val="0"/>
          </w:rPr>
          <w:t xml:space="preserve">spak15@student.cccd.edu</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0F">
      <w:pPr>
        <w:numPr>
          <w:ilvl w:val="0"/>
          <w:numId w:val="4"/>
        </w:num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Organizational Items </w:t>
      </w:r>
      <w:r w:rsidDel="00000000" w:rsidR="00000000" w:rsidRPr="00000000">
        <w:rPr>
          <w:rtl w:val="0"/>
        </w:rPr>
      </w:r>
    </w:p>
    <w:p w:rsidR="00000000" w:rsidDel="00000000" w:rsidP="00000000" w:rsidRDefault="00000000" w:rsidRPr="00000000" w14:paraId="00000010">
      <w:pPr>
        <w:numPr>
          <w:ilvl w:val="1"/>
          <w:numId w:val="5"/>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Call to Order</w:t>
      </w:r>
      <w:r w:rsidDel="00000000" w:rsidR="00000000" w:rsidRPr="00000000">
        <w:rPr>
          <w:rtl w:val="0"/>
        </w:rPr>
      </w:r>
    </w:p>
    <w:p w:rsidR="00000000" w:rsidDel="00000000" w:rsidP="00000000" w:rsidRDefault="00000000" w:rsidRPr="00000000" w14:paraId="00000011">
      <w:pPr>
        <w:numPr>
          <w:ilvl w:val="1"/>
          <w:numId w:val="5"/>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Roll Call</w:t>
      </w:r>
      <w:r w:rsidDel="00000000" w:rsidR="00000000" w:rsidRPr="00000000">
        <w:rPr>
          <w:rtl w:val="0"/>
        </w:rPr>
      </w:r>
    </w:p>
    <w:p w:rsidR="00000000" w:rsidDel="00000000" w:rsidP="00000000" w:rsidRDefault="00000000" w:rsidRPr="00000000" w14:paraId="00000012">
      <w:pPr>
        <w:numPr>
          <w:ilvl w:val="1"/>
          <w:numId w:val="5"/>
        </w:numPr>
        <w:spacing w:line="240" w:lineRule="auto"/>
        <w:ind w:left="720" w:hanging="36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6"/>
          <w:szCs w:val="16"/>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5"/>
        </w:numPr>
        <w:spacing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Approval of Minutes</w:t>
      </w:r>
    </w:p>
    <w:p w:rsidR="00000000" w:rsidDel="00000000" w:rsidP="00000000" w:rsidRDefault="00000000" w:rsidRPr="00000000" w14:paraId="00000014">
      <w:pPr>
        <w:spacing w:line="240" w:lineRule="auto"/>
        <w:ind w:left="144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numPr>
          <w:ilvl w:val="0"/>
          <w:numId w:val="2"/>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w:t>
      </w:r>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7"/>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Unfinished Business</w:t>
      </w:r>
    </w:p>
    <w:p w:rsidR="00000000" w:rsidDel="00000000" w:rsidP="00000000" w:rsidRDefault="00000000" w:rsidRPr="00000000" w14:paraId="00000018">
      <w:pPr>
        <w:numPr>
          <w:ilvl w:val="0"/>
          <w:numId w:val="7"/>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New Business</w:t>
      </w:r>
      <w:r w:rsidDel="00000000" w:rsidR="00000000" w:rsidRPr="00000000">
        <w:rPr>
          <w:rtl w:val="0"/>
        </w:rPr>
      </w:r>
    </w:p>
    <w:p w:rsidR="00000000" w:rsidDel="00000000" w:rsidP="00000000" w:rsidRDefault="00000000" w:rsidRPr="00000000" w14:paraId="00000019">
      <w:pPr>
        <w:spacing w:line="24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1A">
      <w:pPr>
        <w:spacing w:line="240" w:lineRule="auto"/>
        <w:ind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spacing w:line="240" w:lineRule="auto"/>
        <w:ind w:firstLine="36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V.01</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Student Club and Organization Registration(s) Consent Calendar</w:t>
      </w:r>
    </w:p>
    <w:p w:rsidR="00000000" w:rsidDel="00000000" w:rsidP="00000000" w:rsidRDefault="00000000" w:rsidRPr="00000000" w14:paraId="0000001D">
      <w:pPr>
        <w:spacing w:line="240" w:lineRule="auto"/>
        <w:ind w:left="14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Student club and organization registrations on the Consent Calendar may be adopted by a single motion. See Attachment I – Student Club and Organization Registrations.</w:t>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spacing w:line="240" w:lineRule="auto"/>
        <w:ind w:lef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V.02</w:t>
      </w:r>
      <w:r w:rsidDel="00000000" w:rsidR="00000000" w:rsidRPr="00000000">
        <w:rPr>
          <w:rFonts w:ascii="Times New Roman" w:cs="Times New Roman" w:eastAsia="Times New Roman" w:hAnsi="Times New Roman"/>
          <w:sz w:val="16"/>
          <w:szCs w:val="16"/>
          <w:rtl w:val="0"/>
        </w:rPr>
        <w:tab/>
      </w:r>
      <w:r w:rsidDel="00000000" w:rsidR="00000000" w:rsidRPr="00000000">
        <w:rPr>
          <w:rFonts w:ascii="Times New Roman" w:cs="Times New Roman" w:eastAsia="Times New Roman" w:hAnsi="Times New Roman"/>
          <w:b w:val="1"/>
          <w:sz w:val="16"/>
          <w:szCs w:val="16"/>
          <w:rtl w:val="0"/>
        </w:rPr>
        <w:t xml:space="preserve">Student Club and Organizations </w:t>
      </w:r>
      <w:r w:rsidDel="00000000" w:rsidR="00000000" w:rsidRPr="00000000">
        <w:rPr>
          <w:rFonts w:ascii="Times New Roman" w:cs="Times New Roman" w:eastAsia="Times New Roman" w:hAnsi="Times New Roman"/>
          <w:b w:val="1"/>
          <w:sz w:val="16"/>
          <w:szCs w:val="16"/>
          <w:highlight w:val="white"/>
          <w:rtl w:val="0"/>
        </w:rPr>
        <w:t xml:space="preserve">Special Event(s) Applications</w:t>
      </w:r>
      <w:r w:rsidDel="00000000" w:rsidR="00000000" w:rsidRPr="00000000">
        <w:rPr>
          <w:rtl w:val="0"/>
        </w:rPr>
      </w:r>
    </w:p>
    <w:p w:rsidR="00000000" w:rsidDel="00000000" w:rsidP="00000000" w:rsidRDefault="00000000" w:rsidRPr="00000000" w14:paraId="00000020">
      <w:pPr>
        <w:spacing w:line="240" w:lineRule="auto"/>
        <w:ind w:left="216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Student </w:t>
      </w:r>
      <w:r w:rsidDel="00000000" w:rsidR="00000000" w:rsidRPr="00000000">
        <w:rPr>
          <w:rFonts w:ascii="Times New Roman" w:cs="Times New Roman" w:eastAsia="Times New Roman" w:hAnsi="Times New Roman"/>
          <w:sz w:val="16"/>
          <w:szCs w:val="16"/>
          <w:rtl w:val="0"/>
        </w:rPr>
        <w:t xml:space="preserve">Club and Organization Special Events on the Consent Calendar may be adopted by a single motion. See</w:t>
      </w:r>
    </w:p>
    <w:p w:rsidR="00000000" w:rsidDel="00000000" w:rsidP="00000000" w:rsidRDefault="00000000" w:rsidRPr="00000000" w14:paraId="00000021">
      <w:pPr>
        <w:spacing w:line="240" w:lineRule="auto"/>
        <w:ind w:left="2160" w:hanging="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II –Student Club and Organization Special Events Applications.</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tl w:val="0"/>
        </w:rPr>
      </w:r>
    </w:p>
    <w:p w:rsidR="00000000" w:rsidDel="00000000" w:rsidP="00000000" w:rsidRDefault="00000000" w:rsidRPr="00000000" w14:paraId="00000022">
      <w:pPr>
        <w:numPr>
          <w:ilvl w:val="0"/>
          <w:numId w:val="6"/>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Public Forum Two</w:t>
      </w:r>
      <w:r w:rsidDel="00000000" w:rsidR="00000000" w:rsidRPr="00000000">
        <w:rPr>
          <w:rtl w:val="0"/>
        </w:rPr>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24">
      <w:pPr>
        <w:numPr>
          <w:ilvl w:val="0"/>
          <w:numId w:val="1"/>
        </w:numPr>
        <w:spacing w:before="240"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General SGOCC Reports</w:t>
      </w:r>
      <w:r w:rsidDel="00000000" w:rsidR="00000000" w:rsidRPr="00000000">
        <w:rPr>
          <w:rtl w:val="0"/>
        </w:rPr>
      </w:r>
    </w:p>
    <w:p w:rsidR="00000000" w:rsidDel="00000000" w:rsidP="00000000" w:rsidRDefault="00000000" w:rsidRPr="00000000" w14:paraId="00000025">
      <w:pPr>
        <w:spacing w:line="240" w:lineRule="auto"/>
        <w:ind w:firstLine="720"/>
        <w:rPr>
          <w:rFonts w:ascii="-webkit-standard" w:cs="-webkit-standard" w:eastAsia="-webkit-standard" w:hAnsi="-webkit-standard"/>
          <w:sz w:val="24"/>
          <w:szCs w:val="24"/>
        </w:rPr>
      </w:pPr>
      <w:r w:rsidDel="00000000" w:rsidR="00000000" w:rsidRPr="00000000">
        <w:rPr>
          <w:rFonts w:ascii="Times New Roman" w:cs="Times New Roman" w:eastAsia="Times New Roman" w:hAnsi="Times New Roman"/>
          <w:b w:val="1"/>
          <w:sz w:val="16"/>
          <w:szCs w:val="16"/>
          <w:rtl w:val="0"/>
        </w:rPr>
        <w:t xml:space="preserve">VII.01</w:t>
      </w:r>
      <w:r w:rsidDel="00000000" w:rsidR="00000000" w:rsidRPr="00000000">
        <w:rPr>
          <w:rFonts w:ascii="Times New Roman" w:cs="Times New Roman" w:eastAsia="Times New Roman" w:hAnsi="Times New Roman"/>
          <w:sz w:val="16"/>
          <w:szCs w:val="16"/>
          <w:rtl w:val="0"/>
        </w:rPr>
        <w:tab/>
        <w:t xml:space="preserve">Advisors’ Report</w:t>
      </w:r>
      <w:r w:rsidDel="00000000" w:rsidR="00000000" w:rsidRPr="00000000">
        <w:rPr>
          <w:rtl w:val="0"/>
        </w:rPr>
      </w:r>
    </w:p>
    <w:p w:rsidR="00000000" w:rsidDel="00000000" w:rsidP="00000000" w:rsidRDefault="00000000" w:rsidRPr="00000000" w14:paraId="00000026">
      <w:pPr>
        <w:spacing w:line="240" w:lineRule="auto"/>
        <w:ind w:firstLine="72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VII.02</w:t>
      </w:r>
      <w:r w:rsidDel="00000000" w:rsidR="00000000" w:rsidRPr="00000000">
        <w:rPr>
          <w:rFonts w:ascii="Times New Roman" w:cs="Times New Roman" w:eastAsia="Times New Roman" w:hAnsi="Times New Roman"/>
          <w:sz w:val="16"/>
          <w:szCs w:val="16"/>
          <w:rtl w:val="0"/>
        </w:rPr>
        <w:tab/>
        <w:t xml:space="preserve">Board, Officer, and Staff Reports (Limited to 2 minutes per person)</w:t>
      </w:r>
    </w:p>
    <w:p w:rsidR="00000000" w:rsidDel="00000000" w:rsidP="00000000" w:rsidRDefault="00000000" w:rsidRPr="00000000" w14:paraId="00000027">
      <w:pPr>
        <w:numPr>
          <w:ilvl w:val="0"/>
          <w:numId w:val="3"/>
        </w:numPr>
        <w:spacing w:line="24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Adjournment</w:t>
      </w:r>
    </w:p>
    <w:p w:rsidR="00000000" w:rsidDel="00000000" w:rsidP="00000000" w:rsidRDefault="00000000" w:rsidRPr="00000000" w14:paraId="0000002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 – Student Club and Organization Registration(s)</w:t>
      </w:r>
    </w:p>
    <w:tbl>
      <w:tblPr>
        <w:tblStyle w:val="Table1"/>
        <w:tblW w:w="9345.0" w:type="dxa"/>
        <w:jc w:val="left"/>
        <w:tblLayout w:type="fixed"/>
        <w:tblLook w:val="0400"/>
      </w:tblPr>
      <w:tblGrid>
        <w:gridCol w:w="2070"/>
        <w:gridCol w:w="7275"/>
        <w:tblGridChange w:id="0">
          <w:tblGrid>
            <w:gridCol w:w="2070"/>
            <w:gridCol w:w="7275"/>
          </w:tblGrid>
        </w:tblGridChange>
      </w:tblGrid>
      <w:tr>
        <w:trPr>
          <w:cantSplit w:val="0"/>
          <w:trHeight w:val="440.9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&amp; DETAILS,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Orange Coast Aviators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OCC Aviators Club is all about helping students find their way into aviation and giving aviation fans a chill space to hang out, share, and connect.</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Mental Health Advocates at OCC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Mental Health Advocates at OCC (MHAOCC) is a student-driven organization promoting mental health advocacy through certified peer training, creative wellness events, inclusive outreach, and empathy. We support diverse communitiesâ€”underserved, LGBTQIA+, first-gen, low-incomeâ€”by aiming to facilitate programs like our Mental Health First Aid Fellowship, events like our expression walls, and faculty-guided workshops. Our mission is to empower students not only to care for themselves and each other, but also to help shape OCCâ€™s mental health culture through leadership, collaboration, and equity-focused change.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Coastal Research and Biodiversity Society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CRABS allows students that are interested in marine science, environmentalism, and conservation the chance to gain hands-on research experience. As the sister club to the marine science honor society Eta Eta Omicron, we also organize guest speakers to inform members about current events and opportunities get involved with marine science and conservation.</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Nutrition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nutrition club is a welcoming, supportive community where a healthy lifestyle and overall wellness are valued. We host events on campus, connect with the community, and share ideas on healthy eating habits for a flourishing student life.</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Narrative Healing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4">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student space for healing, reflection, and creative expression. We explore books on</w:t>
            </w:r>
          </w:p>
          <w:p w:rsidR="00000000" w:rsidDel="00000000" w:rsidP="00000000" w:rsidRDefault="00000000" w:rsidRPr="00000000" w14:paraId="0000003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growth, trauma, and self-discovery, and host events like art nights, mindfulness sessions,</w:t>
            </w:r>
          </w:p>
          <w:p w:rsidR="00000000" w:rsidDel="00000000" w:rsidP="00000000" w:rsidRDefault="00000000" w:rsidRPr="00000000" w14:paraId="0000003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 fundraisers for survivor-centered orgs. Open to anyone seeking connection, community,</w:t>
            </w:r>
          </w:p>
          <w:p w:rsidR="00000000" w:rsidDel="00000000" w:rsidP="00000000" w:rsidRDefault="00000000" w:rsidRPr="00000000" w14:paraId="0000003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 restoration."</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OC Robotics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 Robotics wants to provide hands on learning opportunities in robotics for the students</w:t>
            </w:r>
          </w:p>
          <w:p w:rsidR="00000000" w:rsidDel="00000000" w:rsidP="00000000" w:rsidRDefault="00000000" w:rsidRPr="00000000" w14:paraId="0000003A">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here through workshops in 3D CAD design, electronics, and software development. We</w:t>
            </w:r>
          </w:p>
          <w:p w:rsidR="00000000" w:rsidDel="00000000" w:rsidP="00000000" w:rsidRDefault="00000000" w:rsidRPr="00000000" w14:paraId="0000003B">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student led building by hosting internal competitions and collaborative team projects.</w:t>
            </w:r>
          </w:p>
          <w:p w:rsidR="00000000" w:rsidDel="00000000" w:rsidP="00000000" w:rsidRDefault="00000000" w:rsidRPr="00000000" w14:paraId="0000003C">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This year, our primary focus is participating in the University Rover Challenge, where we are</w:t>
            </w:r>
          </w:p>
          <w:p w:rsidR="00000000" w:rsidDel="00000000" w:rsidP="00000000" w:rsidRDefault="00000000" w:rsidRPr="00000000" w14:paraId="0000003D">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building a Mars rover designed to sustain the harsh Martian environment. We are also</w:t>
            </w:r>
          </w:p>
          <w:p w:rsidR="00000000" w:rsidDel="00000000" w:rsidP="00000000" w:rsidRDefault="00000000" w:rsidRPr="00000000" w14:paraId="0000003E">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engaging in fundraising efforts to support our projects and expand our educational workshops."</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Asian Student Organization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Asian Student Organization (ASO) is a community for students at OCC who are interested in Asian cultures and connections. Our goal is to create a welcoming space where Asian and non-Asian students can share experiences, build friendships, and celebrate diversity. We host fun events such as bonfires, barbecues, and cultural food gatherings, as well as meetings where members can connect and exchange ideas. ASO is open to everyone who wants to learn more about Asian cultures and be part of a supportive community.</w:t>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Philosophy Club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Our aim is to allow students to critically think and discuss topics in ethics, logic, metaphysics, etc. We hope to promote personal growth, critical reasoning, and a more thoughtful student body.</w:t>
            </w:r>
          </w:p>
        </w:tc>
      </w:tr>
    </w:tbl>
    <w:p w:rsidR="00000000" w:rsidDel="00000000" w:rsidP="00000000" w:rsidRDefault="00000000" w:rsidRPr="00000000" w14:paraId="00000043">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Attachment II  – Student Club and Organization Special Events Applications</w:t>
      </w:r>
    </w:p>
    <w:tbl>
      <w:tblPr>
        <w:tblStyle w:val="Table2"/>
        <w:tblW w:w="10605.0" w:type="dxa"/>
        <w:jc w:val="left"/>
        <w:tblLayout w:type="fixed"/>
        <w:tblLook w:val="0400"/>
      </w:tblPr>
      <w:tblGrid>
        <w:gridCol w:w="1770"/>
        <w:gridCol w:w="2220"/>
        <w:gridCol w:w="3300"/>
        <w:gridCol w:w="3315"/>
        <w:tblGridChange w:id="0">
          <w:tblGrid>
            <w:gridCol w:w="1770"/>
            <w:gridCol w:w="2220"/>
            <w:gridCol w:w="3300"/>
            <w:gridCol w:w="3315"/>
          </w:tblGrid>
        </w:tblGridChange>
      </w:tblGrid>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NAME OF CLUB</w:t>
            </w:r>
          </w:p>
          <w:p w:rsidR="00000000" w:rsidDel="00000000" w:rsidP="00000000" w:rsidRDefault="00000000" w:rsidRPr="00000000" w14:paraId="00000046">
            <w:pPr>
              <w:spacing w:line="360" w:lineRule="auto"/>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NAME OF EVENT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8">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DESCRIPTION OF EVENT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9">
            <w:pPr>
              <w:spacing w:line="36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DATE + TIME &amp; LOCATION OF EVENT</w:t>
            </w:r>
          </w:p>
        </w:tc>
      </w:tr>
      <w:tr>
        <w:trPr>
          <w:cantSplit w:val="0"/>
          <w:trHeight w:val="793.44726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360" w:lineRule="auto"/>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36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line="36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line="36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4E">
      <w:pPr>
        <w:spacing w:line="240" w:lineRule="auto"/>
        <w:rPr>
          <w:rFonts w:ascii="Times New Roman" w:cs="Times New Roman" w:eastAsia="Times New Roman" w:hAnsi="Times New Roman"/>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754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4E1"/>
    <w:rPr>
      <w:rFonts w:ascii="Segoe UI" w:cs="Segoe UI" w:hAnsi="Segoe UI"/>
      <w:sz w:val="18"/>
      <w:szCs w:val="18"/>
    </w:rPr>
  </w:style>
  <w:style w:type="paragraph" w:styleId="NormalWeb">
    <w:name w:val="Normal (Web)"/>
    <w:basedOn w:val="Normal"/>
    <w:uiPriority w:val="99"/>
    <w:semiHidden w:val="1"/>
    <w:unhideWhenUsed w:val="1"/>
    <w:rsid w:val="008D141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40E21"/>
    <w:rPr>
      <w:color w:val="0000ff" w:themeColor="hyperlink"/>
      <w:u w:val="single"/>
    </w:rPr>
  </w:style>
  <w:style w:type="character" w:styleId="UnresolvedMention">
    <w:name w:val="Unresolved Mention"/>
    <w:basedOn w:val="DefaultParagraphFont"/>
    <w:uiPriority w:val="99"/>
    <w:semiHidden w:val="1"/>
    <w:unhideWhenUsed w:val="1"/>
    <w:rsid w:val="00C40E21"/>
    <w:rPr>
      <w:color w:val="605e5c"/>
      <w:shd w:color="auto" w:fill="e1dfdd"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hyperlink" Target="mailto:spak15@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a3wsdW4x5IRZ9nxN/Jp2fB0wQ==">CgMxLjA4AHIhMWN0ZEJKZWVaU1JKWTJ2ZDNYWlR3RzJ1TFdlSzBlSDND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2020-04-24T00:24:00Z</dcterms:created>
</cp:coreProperties>
</file>