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September 22,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CLC Positions Overview</w:t>
      </w:r>
    </w:p>
    <w:p w:rsidR="00000000" w:rsidDel="00000000" w:rsidP="00000000" w:rsidRDefault="00000000" w:rsidRPr="00000000" w14:paraId="00000021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16"/>
          <w:szCs w:val="16"/>
          <w:highlight w:val="white"/>
          <w:rtl w:val="0"/>
        </w:rPr>
        <w:t xml:space="preserve">Presentation regarding CLC officer positions to provide a clearer understanding of their positions and how to execute their roles.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Norm &amp; Expectation Setting</w:t>
      </w:r>
    </w:p>
    <w:p w:rsidR="00000000" w:rsidDel="00000000" w:rsidP="00000000" w:rsidRDefault="00000000" w:rsidRPr="00000000" w14:paraId="00000023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color w:val="1f1f1f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16"/>
          <w:szCs w:val="16"/>
          <w:rtl w:val="0"/>
        </w:rPr>
        <w:t xml:space="preserve">Presentation and discussion regarding meeting etiquette and conduct within CLC including, but not limited to communication, transparency, and participation.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 Fall 2025 Speed Friending Event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ZT4EFZ6ExwkR1nk8f8qdHqxRsg==">CgMxLjA4AHIhMVZQUk5iUVlHZ0I4bGlDR1BmM1Q5M21BVUZQcS1QN18z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