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October 30,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October 23,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sz w:val="14"/>
          <w:szCs w:val="14"/>
        </w:rPr>
      </w:pPr>
      <w:r w:rsidDel="00000000" w:rsidR="00000000" w:rsidRPr="00000000">
        <w:rPr>
          <w:rtl w:val="0"/>
        </w:rPr>
      </w:r>
    </w:p>
    <w:p w:rsidR="00000000" w:rsidDel="00000000" w:rsidP="00000000" w:rsidRDefault="00000000" w:rsidRPr="00000000" w14:paraId="0000001F">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Start-Up Funds</w:t>
      </w:r>
    </w:p>
    <w:p w:rsidR="00000000" w:rsidDel="00000000" w:rsidP="00000000" w:rsidRDefault="00000000" w:rsidRPr="00000000" w14:paraId="00000020">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1">
      <w:pPr>
        <w:numPr>
          <w:ilvl w:val="0"/>
          <w:numId w:val="1"/>
        </w:numPr>
        <w:spacing w:after="0" w:lineRule="auto"/>
        <w:ind w:left="2160" w:hanging="360"/>
        <w:rPr>
          <w:sz w:val="16"/>
          <w:szCs w:val="16"/>
        </w:rPr>
      </w:pPr>
      <w:r w:rsidDel="00000000" w:rsidR="00000000" w:rsidRPr="00000000">
        <w:rPr>
          <w:sz w:val="16"/>
          <w:szCs w:val="16"/>
          <w:rtl w:val="0"/>
        </w:rPr>
        <w:t xml:space="preserve">Sports Medicine Club</w:t>
      </w:r>
    </w:p>
    <w:p w:rsidR="00000000" w:rsidDel="00000000" w:rsidP="00000000" w:rsidRDefault="00000000" w:rsidRPr="00000000" w14:paraId="00000022">
      <w:pPr>
        <w:numPr>
          <w:ilvl w:val="0"/>
          <w:numId w:val="1"/>
        </w:numPr>
        <w:spacing w:after="0" w:lineRule="auto"/>
        <w:ind w:left="2160" w:hanging="360"/>
        <w:rPr>
          <w:sz w:val="16"/>
          <w:szCs w:val="16"/>
          <w:u w:val="none"/>
        </w:rPr>
      </w:pPr>
      <w:r w:rsidDel="00000000" w:rsidR="00000000" w:rsidRPr="00000000">
        <w:rPr>
          <w:sz w:val="16"/>
          <w:szCs w:val="16"/>
          <w:rtl w:val="0"/>
        </w:rPr>
        <w:t xml:space="preserve">Coast Investment &amp; Finance Association</w:t>
      </w:r>
      <w:r w:rsidDel="00000000" w:rsidR="00000000" w:rsidRPr="00000000">
        <w:rPr>
          <w:rtl w:val="0"/>
        </w:rPr>
      </w:r>
    </w:p>
    <w:p w:rsidR="00000000" w:rsidDel="00000000" w:rsidP="00000000" w:rsidRDefault="00000000" w:rsidRPr="00000000" w14:paraId="00000023">
      <w:pPr>
        <w:spacing w:before="240" w:lineRule="auto"/>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Iota  Xi, OCC Computer Science Honor Society, is presenting a request in the</w:t>
      </w:r>
      <w:r w:rsidDel="00000000" w:rsidR="00000000" w:rsidRPr="00000000">
        <w:rPr>
          <w:b w:val="1"/>
          <w:sz w:val="16"/>
          <w:szCs w:val="16"/>
          <w:rtl w:val="0"/>
        </w:rPr>
        <w:t xml:space="preserve"> amount of $2,677.61</w:t>
      </w:r>
      <w:r w:rsidDel="00000000" w:rsidR="00000000" w:rsidRPr="00000000">
        <w:rPr>
          <w:sz w:val="16"/>
          <w:szCs w:val="16"/>
          <w:rtl w:val="0"/>
        </w:rPr>
        <w:t xml:space="preserve"> to support the hosting of the Spookathon at OCC from October 25, 2025 - October 26, 2025.</w:t>
      </w:r>
    </w:p>
    <w:p w:rsidR="00000000" w:rsidDel="00000000" w:rsidP="00000000" w:rsidRDefault="00000000" w:rsidRPr="00000000" w14:paraId="00000026">
      <w:pPr>
        <w:ind w:left="1440" w:hanging="720"/>
        <w:rPr>
          <w:b w:val="1"/>
          <w:sz w:val="16"/>
          <w:szCs w:val="16"/>
          <w:u w:val="single"/>
        </w:rPr>
      </w:pPr>
      <w:r w:rsidDel="00000000" w:rsidR="00000000" w:rsidRPr="00000000">
        <w:rPr>
          <w:b w:val="1"/>
          <w:sz w:val="16"/>
          <w:szCs w:val="16"/>
          <w:rtl w:val="0"/>
        </w:rPr>
        <w:t xml:space="preserve">V.03</w:t>
        <w:tab/>
      </w:r>
      <w:r w:rsidDel="00000000" w:rsidR="00000000" w:rsidRPr="00000000">
        <w:rPr>
          <w:b w:val="1"/>
          <w:sz w:val="16"/>
          <w:szCs w:val="16"/>
          <w:u w:val="single"/>
          <w:rtl w:val="0"/>
        </w:rPr>
        <w:t xml:space="preserve">OCC Athletics Fall 2025 Postseason Request</w:t>
      </w:r>
    </w:p>
    <w:p w:rsidR="00000000" w:rsidDel="00000000" w:rsidP="00000000" w:rsidRDefault="00000000" w:rsidRPr="00000000" w14:paraId="00000027">
      <w:pPr>
        <w:spacing w:after="200" w:lineRule="auto"/>
        <w:ind w:left="1440" w:firstLine="0"/>
        <w:rPr>
          <w:sz w:val="16"/>
          <w:szCs w:val="16"/>
        </w:rPr>
      </w:pPr>
      <w:r w:rsidDel="00000000" w:rsidR="00000000" w:rsidRPr="00000000">
        <w:rPr>
          <w:sz w:val="16"/>
          <w:szCs w:val="16"/>
          <w:rtl w:val="0"/>
        </w:rPr>
        <w:t xml:space="preserve">Discussion regarding the possible funding of the Athletics Fall 2025 postseason request in the</w:t>
      </w:r>
      <w:r w:rsidDel="00000000" w:rsidR="00000000" w:rsidRPr="00000000">
        <w:rPr>
          <w:b w:val="1"/>
          <w:sz w:val="16"/>
          <w:szCs w:val="16"/>
          <w:rtl w:val="0"/>
        </w:rPr>
        <w:t xml:space="preserve"> amount of $59,398.00</w:t>
      </w:r>
      <w:r w:rsidDel="00000000" w:rsidR="00000000" w:rsidRPr="00000000">
        <w:rPr>
          <w:sz w:val="16"/>
          <w:szCs w:val="16"/>
          <w:rtl w:val="0"/>
        </w:rPr>
        <w:t xml:space="preserve">. Possible action to follow.</w:t>
      </w:r>
    </w:p>
    <w:p w:rsidR="00000000" w:rsidDel="00000000" w:rsidP="00000000" w:rsidRDefault="00000000" w:rsidRPr="00000000" w14:paraId="00000028">
      <w:pPr>
        <w:ind w:left="1440" w:hanging="720"/>
        <w:rPr>
          <w:b w:val="1"/>
          <w:sz w:val="16"/>
          <w:szCs w:val="16"/>
          <w:u w:val="single"/>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Fiscal Affairs Council Open Position Appointment</w:t>
      </w:r>
    </w:p>
    <w:p w:rsidR="00000000" w:rsidDel="00000000" w:rsidP="00000000" w:rsidRDefault="00000000" w:rsidRPr="00000000" w14:paraId="00000029">
      <w:pPr>
        <w:spacing w:after="200" w:lineRule="auto"/>
        <w:ind w:left="1440" w:firstLine="0"/>
        <w:rPr>
          <w:sz w:val="16"/>
          <w:szCs w:val="16"/>
        </w:rPr>
      </w:pPr>
      <w:r w:rsidDel="00000000" w:rsidR="00000000" w:rsidRPr="00000000">
        <w:rPr>
          <w:sz w:val="16"/>
          <w:szCs w:val="16"/>
          <w:rtl w:val="0"/>
        </w:rPr>
        <w:t xml:space="preserve">Discussion regarding the appointment of an interviewee from the September 2025 Fiscal Affairs Council applicants to the existing open officer position within the Fiscal Affairs Council. Possible action to follow.</w:t>
      </w:r>
    </w:p>
    <w:p w:rsidR="00000000" w:rsidDel="00000000" w:rsidP="00000000" w:rsidRDefault="00000000" w:rsidRPr="00000000" w14:paraId="0000002A">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B">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C">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D">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2E">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2F">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UBHRxNh97milZ3xqw+M2Y3cWQ==">CgMxLjAyCWguMWZvYjl0ZTIIaC5namRneHM4AHIhMUdHOWNGdlJMeUVZeXBHSUthdDRESk9EV0RSMUROcy11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