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17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Monday, November 17,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III.01 Student Senate </w:t>
      </w:r>
    </w:p>
    <w:p w:rsidR="00000000" w:rsidDel="00000000" w:rsidP="00000000" w:rsidRDefault="00000000" w:rsidRPr="00000000" w14:paraId="00000019">
      <w:pPr>
        <w:keepNext w:val="1"/>
        <w:keepLines w:val="1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40" w:line="276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IV.          </w:t>
        <w:tab/>
        <w:t xml:space="preserve">Unfinished Business 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V.0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1 </w:t>
        <w:tab/>
        <w:t xml:space="preserve">CLC Angel Tree Drive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Possible action to follow. 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/o4JENGjItAZadil5ODchSP5g==">CgMxLjA4AHIhMWQ2YzRXN3hQRW9leVJpZWVSVEZIWl9yZEZ0VVVaWGRY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