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September 17,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September 17,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72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Advocacy Committee Icebreaker </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the Vice President of Advocacy.</w:t>
      </w:r>
      <w:r w:rsidDel="00000000" w:rsidR="00000000" w:rsidRPr="00000000">
        <w:rPr>
          <w:rtl w:val="0"/>
        </w:rPr>
      </w:r>
    </w:p>
    <w:p w:rsidR="00000000" w:rsidDel="00000000" w:rsidP="00000000" w:rsidRDefault="00000000" w:rsidRPr="00000000" w14:paraId="00000027">
      <w:pPr>
        <w:spacing w:before="240"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National Voter Registration Day/Constitution Day Debrief</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Debrief regarding the National Voter Registration Day/Constitution Day event. Possible action to follow.</w:t>
      </w:r>
      <w:r w:rsidDel="00000000" w:rsidR="00000000" w:rsidRPr="00000000">
        <w:rPr>
          <w:rtl w:val="0"/>
        </w:rPr>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Advocacy Committee Goals Brainstorm</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Advocacy Committee’s Goals for the 2025-2026 academic year.</w:t>
      </w:r>
      <w:r w:rsidDel="00000000" w:rsidR="00000000" w:rsidRPr="00000000">
        <w:rPr>
          <w:rtl w:val="0"/>
        </w:rPr>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D">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E">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1">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2">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